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AB11D1" w14:paraId="1118CDE4" w14:textId="77777777" w:rsidTr="00FC3F25">
        <w:tc>
          <w:tcPr>
            <w:tcW w:w="9016" w:type="dxa"/>
            <w:shd w:val="clear" w:color="auto" w:fill="000000" w:themeFill="text1"/>
          </w:tcPr>
          <w:p w14:paraId="73A16125" w14:textId="3BEE11EC" w:rsidR="00AB11D1" w:rsidRDefault="00FC3F25" w:rsidP="00C22744">
            <w:r>
              <w:rPr>
                <w:color w:val="FFFFFF" w:themeColor="background1"/>
              </w:rPr>
              <w:t xml:space="preserve">Appendix 1: </w:t>
            </w:r>
            <w:r w:rsidR="004E4F5D" w:rsidRPr="00FC3F25">
              <w:rPr>
                <w:color w:val="FFFFFF" w:themeColor="background1"/>
              </w:rPr>
              <w:t>Templ</w:t>
            </w:r>
            <w:r w:rsidR="00C563A9" w:rsidRPr="00FC3F25">
              <w:rPr>
                <w:color w:val="FFFFFF" w:themeColor="background1"/>
              </w:rPr>
              <w:t xml:space="preserve">ate Information for Patients on </w:t>
            </w:r>
            <w:r w:rsidRPr="00FC3F25">
              <w:rPr>
                <w:color w:val="FFFFFF" w:themeColor="background1"/>
              </w:rPr>
              <w:t>Right to Choose for Adult ADHD</w:t>
            </w:r>
            <w:r w:rsidR="00D63122">
              <w:rPr>
                <w:color w:val="FFFFFF" w:themeColor="background1"/>
              </w:rPr>
              <w:t xml:space="preserve"> and/or </w:t>
            </w:r>
            <w:r w:rsidRPr="00FC3F25">
              <w:rPr>
                <w:color w:val="FFFFFF" w:themeColor="background1"/>
              </w:rPr>
              <w:t>ASD</w:t>
            </w:r>
          </w:p>
        </w:tc>
      </w:tr>
    </w:tbl>
    <w:p w14:paraId="59074870" w14:textId="77777777" w:rsidR="00D757BF" w:rsidRDefault="00D757BF" w:rsidP="00C22744"/>
    <w:p w14:paraId="713B7D8A" w14:textId="44028CDB" w:rsidR="00C22744" w:rsidRPr="003543CB" w:rsidRDefault="00C22744" w:rsidP="00C22744">
      <w:pPr>
        <w:rPr>
          <w:b/>
          <w:bCs/>
          <w:sz w:val="24"/>
          <w:szCs w:val="24"/>
        </w:rPr>
      </w:pPr>
      <w:r w:rsidRPr="003543CB">
        <w:rPr>
          <w:b/>
          <w:bCs/>
          <w:sz w:val="24"/>
          <w:szCs w:val="24"/>
        </w:rPr>
        <w:t>ADVICE TO PATIENT BEFORE REFERRING VIA RIGHT TO CHOOSE</w:t>
      </w:r>
      <w:r w:rsidR="00D4637B" w:rsidRPr="003543CB">
        <w:rPr>
          <w:b/>
          <w:bCs/>
          <w:sz w:val="24"/>
          <w:szCs w:val="24"/>
        </w:rPr>
        <w:t xml:space="preserve"> (RTC)</w:t>
      </w:r>
    </w:p>
    <w:p w14:paraId="124C1637" w14:textId="0A0D8AF6" w:rsidR="00C22744" w:rsidRDefault="00552235" w:rsidP="00C22744">
      <w:r>
        <w:t>Having made a clinical assessment</w:t>
      </w:r>
      <w:r w:rsidR="007B6CD2">
        <w:t>,</w:t>
      </w:r>
      <w:r>
        <w:t xml:space="preserve"> your GP has agreed that you would benefit from</w:t>
      </w:r>
      <w:r w:rsidR="00C22744">
        <w:t xml:space="preserve"> an ADHD </w:t>
      </w:r>
      <w:r w:rsidR="003D6EF3">
        <w:t>and/</w:t>
      </w:r>
      <w:r w:rsidR="00C22744">
        <w:t>or ASD assessment</w:t>
      </w:r>
      <w:r w:rsidR="00803DE4">
        <w:t xml:space="preserve">. </w:t>
      </w:r>
      <w:r w:rsidR="0009160A">
        <w:t>U</w:t>
      </w:r>
      <w:r w:rsidR="00C22744">
        <w:t>nder your Right to Choose (RTC</w:t>
      </w:r>
      <w:r w:rsidR="001F5FB0">
        <w:t>)</w:t>
      </w:r>
      <w:r w:rsidR="002B4F89">
        <w:t xml:space="preserve"> you have requeste</w:t>
      </w:r>
      <w:r w:rsidR="00952292">
        <w:t>d that this referral is made to a RTC provider, rather than your l</w:t>
      </w:r>
      <w:r w:rsidR="0009160A">
        <w:t>o</w:t>
      </w:r>
      <w:r w:rsidR="00952292">
        <w:t xml:space="preserve">cally </w:t>
      </w:r>
      <w:r w:rsidR="0009160A">
        <w:t>provided service</w:t>
      </w:r>
      <w:r w:rsidR="00A845CA">
        <w:t>.</w:t>
      </w:r>
      <w:r w:rsidR="00C22744">
        <w:t xml:space="preserve"> Your GP will write the referral and </w:t>
      </w:r>
      <w:r w:rsidR="00D22FBE">
        <w:t xml:space="preserve">either </w:t>
      </w:r>
      <w:r w:rsidR="00C22744">
        <w:t xml:space="preserve">provide it to </w:t>
      </w:r>
      <w:r w:rsidR="00232E03">
        <w:t>you or</w:t>
      </w:r>
      <w:r w:rsidR="00C22744">
        <w:t xml:space="preserve"> send it directly to your nominated provider at your request. If you have any queries about</w:t>
      </w:r>
      <w:r w:rsidR="000C4B31">
        <w:t xml:space="preserve"> waiting time</w:t>
      </w:r>
      <w:r w:rsidR="00E2072E">
        <w:t>s</w:t>
      </w:r>
      <w:r w:rsidR="000C4B31">
        <w:t xml:space="preserve"> or your</w:t>
      </w:r>
      <w:r w:rsidR="00C22744">
        <w:t xml:space="preserve"> appointment, please contact the provider directly.</w:t>
      </w:r>
    </w:p>
    <w:p w14:paraId="01D7290B" w14:textId="1EC604F4" w:rsidR="00C22744" w:rsidRDefault="00C22744" w:rsidP="00C22744">
      <w:r>
        <w:t xml:space="preserve">RTC providers are usually private provider companies that hold an NHS contract with one or more </w:t>
      </w:r>
      <w:r w:rsidR="00D4637B">
        <w:t xml:space="preserve">regional </w:t>
      </w:r>
      <w:r>
        <w:t>NHS commissioners</w:t>
      </w:r>
      <w:r w:rsidR="00D4637B">
        <w:t xml:space="preserve"> in England</w:t>
      </w:r>
      <w:r>
        <w:t>. When choosing a RTC provider it is important to consider the following points:</w:t>
      </w:r>
    </w:p>
    <w:p w14:paraId="2322E112" w14:textId="77777777" w:rsidR="003543CB" w:rsidRDefault="003543CB" w:rsidP="00C2274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9016"/>
      </w:tblGrid>
      <w:tr w:rsidR="00EE583D" w14:paraId="384C4343" w14:textId="77777777" w:rsidTr="00EE583D">
        <w:tc>
          <w:tcPr>
            <w:tcW w:w="9016" w:type="dxa"/>
            <w:shd w:val="clear" w:color="auto" w:fill="DAE9F7" w:themeFill="text2" w:themeFillTint="1A"/>
          </w:tcPr>
          <w:p w14:paraId="3E9369BD" w14:textId="7F245DD8" w:rsidR="00EE583D" w:rsidRPr="00EE583D" w:rsidRDefault="00EE583D" w:rsidP="00C22744">
            <w:pPr>
              <w:rPr>
                <w:b/>
                <w:bCs/>
              </w:rPr>
            </w:pPr>
            <w:r w:rsidRPr="00EE583D">
              <w:rPr>
                <w:b/>
                <w:bCs/>
              </w:rPr>
              <w:t>Choice of RTC Provider</w:t>
            </w:r>
          </w:p>
        </w:tc>
      </w:tr>
    </w:tbl>
    <w:p w14:paraId="364E2D3D" w14:textId="2E5F9AF2" w:rsidR="00C22744" w:rsidRDefault="00C22744" w:rsidP="00EE583D">
      <w:pPr>
        <w:spacing w:before="240"/>
      </w:pPr>
      <w:r>
        <w:t xml:space="preserve">Your GP cannot choose for you. You need to research the options and make the choice yourself, then contact your GP to inform them of your chosen provider and they will advise you on how to proceed. One point of reference for RTC providers is ADHD UK: </w:t>
      </w:r>
      <w:hyperlink r:id="rId6" w:history="1">
        <w:r w:rsidR="0004591F" w:rsidRPr="006D645B">
          <w:rPr>
            <w:rStyle w:val="Hyperlink"/>
          </w:rPr>
          <w:t>https://adhduk.co.uk/right-to-choose</w:t>
        </w:r>
      </w:hyperlink>
      <w:r w:rsidR="0004591F">
        <w:t xml:space="preserve">. Their site contains a list of </w:t>
      </w:r>
      <w:r w:rsidR="006957C4">
        <w:t>RTC providers, together with information on the services they offer</w:t>
      </w:r>
      <w:r w:rsidR="00EE583D">
        <w:t xml:space="preserve"> and approximate wait times.</w:t>
      </w:r>
      <w:r w:rsidR="0004591F">
        <w:t xml:space="preserve"> </w:t>
      </w:r>
    </w:p>
    <w:p w14:paraId="29F3FBD3" w14:textId="77777777" w:rsidR="00532934" w:rsidRDefault="00036942" w:rsidP="00EE583D">
      <w:pPr>
        <w:spacing w:before="240"/>
      </w:pPr>
      <w:r>
        <w:t>There a</w:t>
      </w:r>
      <w:r w:rsidR="00885372">
        <w:t>re</w:t>
      </w:r>
      <w:r>
        <w:t xml:space="preserve"> multiple stages that </w:t>
      </w:r>
      <w:r w:rsidR="00BB6B66">
        <w:t xml:space="preserve">can </w:t>
      </w:r>
      <w:r>
        <w:t>take place</w:t>
      </w:r>
      <w:r w:rsidR="00BB6B66">
        <w:t xml:space="preserve"> between a patient being referred by a GP and the patient receiving treatment. These inc</w:t>
      </w:r>
      <w:r w:rsidR="00CB34F5">
        <w:t xml:space="preserve">lude online or remote assessments, an </w:t>
      </w:r>
      <w:r w:rsidR="002C6A56">
        <w:t>assessment</w:t>
      </w:r>
      <w:r w:rsidR="00CB34F5">
        <w:t xml:space="preserve"> </w:t>
      </w:r>
      <w:r w:rsidR="002C6A56">
        <w:t>in person</w:t>
      </w:r>
      <w:r w:rsidR="00CB34F5">
        <w:t>,</w:t>
      </w:r>
      <w:r w:rsidR="005F6971">
        <w:t xml:space="preserve"> diagnosis, </w:t>
      </w:r>
      <w:r w:rsidR="008C0E72">
        <w:t>prescribing of appropriate medication</w:t>
      </w:r>
      <w:r w:rsidR="00E75130">
        <w:t>, ongoing monitoring and follow-up</w:t>
      </w:r>
      <w:r w:rsidR="00885372">
        <w:t>, and onward referral if required.</w:t>
      </w:r>
      <w:r w:rsidR="00CB34F5">
        <w:t xml:space="preserve"> </w:t>
      </w:r>
    </w:p>
    <w:p w14:paraId="6DADB0FA" w14:textId="0F350721" w:rsidR="00272645" w:rsidRDefault="007D0ED7" w:rsidP="00EE583D">
      <w:pPr>
        <w:spacing w:before="240"/>
      </w:pPr>
      <w:r>
        <w:t>The locally commissioned service will</w:t>
      </w:r>
      <w:r w:rsidR="00D758FC">
        <w:t xml:space="preserve"> provide all of these steps for a patient (where required), whereas </w:t>
      </w:r>
      <w:r w:rsidR="00785D7E" w:rsidRPr="00855DE4">
        <w:rPr>
          <w:b/>
          <w:bCs/>
        </w:rPr>
        <w:t>an RTC provider may only undertake some of the steps</w:t>
      </w:r>
      <w:r w:rsidR="00785D7E">
        <w:t xml:space="preserve"> (e.g. remote assessment and diagnosis) </w:t>
      </w:r>
      <w:r w:rsidR="00532934">
        <w:t xml:space="preserve">but not the other steps. </w:t>
      </w:r>
      <w:r w:rsidR="00D9711A">
        <w:t xml:space="preserve">If </w:t>
      </w:r>
      <w:r w:rsidR="00F96ACB">
        <w:t xml:space="preserve">you choose a RTC provider that does not </w:t>
      </w:r>
      <w:r w:rsidR="000A36B0">
        <w:t xml:space="preserve">prescribe or monitor medication, but their diagnosis indicated that you </w:t>
      </w:r>
      <w:r w:rsidR="00355A3A">
        <w:t xml:space="preserve">require medication, </w:t>
      </w:r>
      <w:r w:rsidR="000C46FB">
        <w:t>you may need to be re-referred to the local provider.</w:t>
      </w:r>
    </w:p>
    <w:p w14:paraId="702A5760" w14:textId="2A0FEF25" w:rsidR="00C22744" w:rsidRDefault="00C22744" w:rsidP="00C22744"/>
    <w:tbl>
      <w:tblPr>
        <w:tblStyle w:val="TableGrid"/>
        <w:tblW w:w="0" w:type="auto"/>
        <w:tblLook w:val="04A0" w:firstRow="1" w:lastRow="0" w:firstColumn="1" w:lastColumn="0" w:noHBand="0" w:noVBand="1"/>
      </w:tblPr>
      <w:tblGrid>
        <w:gridCol w:w="9016"/>
      </w:tblGrid>
      <w:tr w:rsidR="00EE583D" w14:paraId="6436DDF3" w14:textId="77777777" w:rsidTr="00EE583D">
        <w:tc>
          <w:tcPr>
            <w:tcW w:w="9016" w:type="dxa"/>
            <w:tcBorders>
              <w:top w:val="nil"/>
              <w:left w:val="nil"/>
              <w:bottom w:val="nil"/>
              <w:right w:val="nil"/>
            </w:tcBorders>
            <w:shd w:val="clear" w:color="auto" w:fill="DAE9F7" w:themeFill="text2" w:themeFillTint="1A"/>
          </w:tcPr>
          <w:p w14:paraId="14217FF7" w14:textId="405634E9" w:rsidR="00EE583D" w:rsidRPr="00EE583D" w:rsidRDefault="00EE583D" w:rsidP="00C22744">
            <w:pPr>
              <w:rPr>
                <w:b/>
                <w:bCs/>
              </w:rPr>
            </w:pPr>
            <w:r w:rsidRPr="00EE583D">
              <w:rPr>
                <w:b/>
                <w:bCs/>
              </w:rPr>
              <w:t>Referral</w:t>
            </w:r>
          </w:p>
        </w:tc>
      </w:tr>
    </w:tbl>
    <w:p w14:paraId="2366E308" w14:textId="189C4D11" w:rsidR="00C22744" w:rsidRDefault="00C22744" w:rsidP="00EE583D">
      <w:pPr>
        <w:spacing w:before="240"/>
      </w:pPr>
      <w:r>
        <w:t xml:space="preserve">The number of RTC providers is large, and each provider may have its own referral process. It is not practical for your GP to complete a different referral process for every patient who chooses a different provider. Most providers need a core set of information, so your GP may ask you to complete a questionnaire and self-assessment </w:t>
      </w:r>
      <w:r w:rsidR="00232AC1">
        <w:t xml:space="preserve">tool </w:t>
      </w:r>
      <w:r>
        <w:t>as part of a standardised referral. If the provider needs additional information, they can request it from the practice or by asking you directly.</w:t>
      </w:r>
    </w:p>
    <w:p w14:paraId="3D2065C6" w14:textId="0E614FEB" w:rsidR="00C22744" w:rsidRDefault="00C22744" w:rsidP="00C22744"/>
    <w:tbl>
      <w:tblPr>
        <w:tblStyle w:val="TableGrid"/>
        <w:tblW w:w="0" w:type="auto"/>
        <w:tblLook w:val="04A0" w:firstRow="1" w:lastRow="0" w:firstColumn="1" w:lastColumn="0" w:noHBand="0" w:noVBand="1"/>
      </w:tblPr>
      <w:tblGrid>
        <w:gridCol w:w="9016"/>
      </w:tblGrid>
      <w:tr w:rsidR="00DA0AF9" w14:paraId="68DCD136" w14:textId="77777777" w:rsidTr="00DA0AF9">
        <w:tc>
          <w:tcPr>
            <w:tcW w:w="9016" w:type="dxa"/>
            <w:tcBorders>
              <w:top w:val="nil"/>
              <w:left w:val="nil"/>
              <w:bottom w:val="nil"/>
              <w:right w:val="nil"/>
            </w:tcBorders>
            <w:shd w:val="clear" w:color="auto" w:fill="DAE9F7" w:themeFill="text2" w:themeFillTint="1A"/>
          </w:tcPr>
          <w:p w14:paraId="64A35410" w14:textId="1CCC53B1" w:rsidR="00DA0AF9" w:rsidRPr="00DA0AF9" w:rsidRDefault="00DA0AF9" w:rsidP="00C22744">
            <w:pPr>
              <w:rPr>
                <w:b/>
                <w:bCs/>
              </w:rPr>
            </w:pPr>
            <w:r w:rsidRPr="00DA0AF9">
              <w:rPr>
                <w:b/>
                <w:bCs/>
              </w:rPr>
              <w:t>Diagnosis and Follow-up</w:t>
            </w:r>
          </w:p>
        </w:tc>
      </w:tr>
    </w:tbl>
    <w:p w14:paraId="1EED3BCB" w14:textId="6D474941" w:rsidR="00C22744" w:rsidRDefault="00BC4CA9" w:rsidP="00DA0AF9">
      <w:pPr>
        <w:spacing w:before="240"/>
      </w:pPr>
      <w:r>
        <w:lastRenderedPageBreak/>
        <w:t>The majority of</w:t>
      </w:r>
      <w:r w:rsidR="00C22744">
        <w:t xml:space="preserve"> RTC providers </w:t>
      </w:r>
      <w:r w:rsidR="00377965">
        <w:t>only offer</w:t>
      </w:r>
      <w:r w:rsidR="00C22744">
        <w:t xml:space="preserve"> remote and/or online assessments</w:t>
      </w:r>
      <w:r w:rsidR="005A61F0">
        <w:t xml:space="preserve"> (as opposed to an in-person assessment from a clinician)</w:t>
      </w:r>
      <w:r w:rsidR="00A06F4A">
        <w:t xml:space="preserve">. If you require </w:t>
      </w:r>
      <w:r w:rsidR="00A920EB">
        <w:t xml:space="preserve">re-referral back to the locally commissioned </w:t>
      </w:r>
      <w:r w:rsidR="001C2823">
        <w:t>provider</w:t>
      </w:r>
      <w:r w:rsidR="00A920EB">
        <w:t xml:space="preserve"> for further support or </w:t>
      </w:r>
      <w:r w:rsidR="001C2823">
        <w:t>medication</w:t>
      </w:r>
      <w:r w:rsidR="00C22744">
        <w:t xml:space="preserve">, the local </w:t>
      </w:r>
      <w:r w:rsidR="001C2823">
        <w:t xml:space="preserve">commissioned provider </w:t>
      </w:r>
      <w:r w:rsidR="00C22744">
        <w:t xml:space="preserve">may not have sufficient confidence in </w:t>
      </w:r>
      <w:r w:rsidR="00F50A61">
        <w:t>the remote diagnosis of the RTC provider</w:t>
      </w:r>
      <w:r w:rsidR="00C22744">
        <w:t xml:space="preserve"> to accept their diagnoses. </w:t>
      </w:r>
      <w:r w:rsidR="00A53F44">
        <w:t>In these circumstances, t</w:t>
      </w:r>
      <w:r w:rsidR="00C22744">
        <w:t>hey may not take over your care unless they have completed their own assessment and diagnostic process. Therefore, your diagnosis may not be universally accepted, and you may find you cannot seek treatment and follow-up directly with local services following an RTC diagnosis.</w:t>
      </w:r>
    </w:p>
    <w:p w14:paraId="0E1B8C94" w14:textId="3A0E8AD3" w:rsidR="00C22744" w:rsidRDefault="00C22744" w:rsidP="00C22744"/>
    <w:tbl>
      <w:tblPr>
        <w:tblStyle w:val="TableGrid"/>
        <w:tblW w:w="0" w:type="auto"/>
        <w:tblLook w:val="04A0" w:firstRow="1" w:lastRow="0" w:firstColumn="1" w:lastColumn="0" w:noHBand="0" w:noVBand="1"/>
      </w:tblPr>
      <w:tblGrid>
        <w:gridCol w:w="9016"/>
      </w:tblGrid>
      <w:tr w:rsidR="00DA0AF9" w14:paraId="31CCF0FD" w14:textId="77777777" w:rsidTr="00DA0AF9">
        <w:tc>
          <w:tcPr>
            <w:tcW w:w="9016" w:type="dxa"/>
            <w:tcBorders>
              <w:top w:val="nil"/>
              <w:left w:val="nil"/>
              <w:bottom w:val="nil"/>
              <w:right w:val="nil"/>
            </w:tcBorders>
            <w:shd w:val="clear" w:color="auto" w:fill="DAE9F7" w:themeFill="text2" w:themeFillTint="1A"/>
          </w:tcPr>
          <w:p w14:paraId="254DB95D" w14:textId="0812C195" w:rsidR="00DA0AF9" w:rsidRPr="00DA0AF9" w:rsidRDefault="00DA0AF9" w:rsidP="00C22744">
            <w:pPr>
              <w:rPr>
                <w:b/>
                <w:bCs/>
              </w:rPr>
            </w:pPr>
            <w:r w:rsidRPr="00DA0AF9">
              <w:rPr>
                <w:b/>
                <w:bCs/>
              </w:rPr>
              <w:t>Prescriptions</w:t>
            </w:r>
            <w:r w:rsidR="00A03648">
              <w:rPr>
                <w:b/>
                <w:bCs/>
              </w:rPr>
              <w:t xml:space="preserve"> and Shared Care Agreements</w:t>
            </w:r>
          </w:p>
        </w:tc>
      </w:tr>
    </w:tbl>
    <w:p w14:paraId="7B3AA0B0" w14:textId="5B94CA4E" w:rsidR="00522D75" w:rsidRDefault="00A53F44" w:rsidP="00A53F44">
      <w:pPr>
        <w:spacing w:before="240"/>
      </w:pPr>
      <w:r>
        <w:t>I</w:t>
      </w:r>
      <w:r w:rsidR="0024092D" w:rsidRPr="00FB2CEF">
        <w:t>f you are diagnosed with ADHD</w:t>
      </w:r>
      <w:r w:rsidR="000815A8">
        <w:t>,</w:t>
      </w:r>
      <w:r w:rsidR="0024092D" w:rsidRPr="00FB2CEF">
        <w:t xml:space="preserve"> the RTC provider may suggest medications for you. The usual practice for initial prescribing of medications used for ADHD is undertaken by </w:t>
      </w:r>
      <w:r w:rsidR="00D83608">
        <w:t>a s</w:t>
      </w:r>
      <w:r w:rsidR="0024092D" w:rsidRPr="00FB2CEF">
        <w:t>pecialist service. Once medication is stabilised</w:t>
      </w:r>
      <w:r w:rsidR="00A03648">
        <w:t>, the s</w:t>
      </w:r>
      <w:r w:rsidR="0024092D" w:rsidRPr="00FB2CEF">
        <w:t xml:space="preserve">pecialist service can request that your GP prescribes medication under an agreement called a ‘shared care agreement’. </w:t>
      </w:r>
      <w:r w:rsidR="00153987" w:rsidRPr="00FB2CEF">
        <w:t>However,</w:t>
      </w:r>
      <w:r w:rsidR="0024092D" w:rsidRPr="00FB2CEF">
        <w:t xml:space="preserve"> these agreements are </w:t>
      </w:r>
      <w:r w:rsidR="00E26FF2" w:rsidRPr="00FB2CEF">
        <w:t>voluntary,</w:t>
      </w:r>
      <w:r w:rsidR="0024092D" w:rsidRPr="00FB2CEF">
        <w:t xml:space="preserve"> and </w:t>
      </w:r>
      <w:r w:rsidR="00FD6E74">
        <w:t>your</w:t>
      </w:r>
      <w:r w:rsidR="0024092D" w:rsidRPr="00FB2CEF">
        <w:t xml:space="preserve"> GP must be assured that the medication has been initiated safely and that you would be monitored regularly by the RTC </w:t>
      </w:r>
      <w:r w:rsidR="00A527A5">
        <w:t>provider</w:t>
      </w:r>
      <w:r w:rsidR="0024092D" w:rsidRPr="00FB2CEF">
        <w:t xml:space="preserve">. Your GP would also need to be confident that they would be able to access rapid support from the RTC provider should </w:t>
      </w:r>
      <w:r w:rsidR="00522D75">
        <w:t>the need</w:t>
      </w:r>
      <w:r w:rsidR="0024092D" w:rsidRPr="00FB2CEF">
        <w:t xml:space="preserve"> arise.</w:t>
      </w:r>
    </w:p>
    <w:p w14:paraId="330199BD" w14:textId="6EEC5DBE" w:rsidR="0024092D" w:rsidRPr="00FB2CEF" w:rsidRDefault="0024092D" w:rsidP="00A53F44">
      <w:pPr>
        <w:spacing w:before="240"/>
      </w:pPr>
      <w:r w:rsidRPr="00FB2CEF">
        <w:t xml:space="preserve">Given the </w:t>
      </w:r>
      <w:r w:rsidR="00281300">
        <w:t>inconsistent</w:t>
      </w:r>
      <w:r w:rsidRPr="00FB2CEF">
        <w:t xml:space="preserve"> nature of RTC providers with respect to service delivery, access and business </w:t>
      </w:r>
      <w:r w:rsidR="00754D5C" w:rsidRPr="00FB2CEF">
        <w:t>models</w:t>
      </w:r>
      <w:r w:rsidR="00522D75">
        <w:t>,</w:t>
      </w:r>
      <w:r w:rsidR="00754D5C" w:rsidRPr="00FB2CEF">
        <w:t xml:space="preserve"> it</w:t>
      </w:r>
      <w:r w:rsidRPr="00FB2CEF">
        <w:t xml:space="preserve"> is unlikely that your GP will be able to enter into this agreement for reasons of patient safety.</w:t>
      </w:r>
    </w:p>
    <w:p w14:paraId="40E4806C" w14:textId="5B02F1F2" w:rsidR="00B43A7D" w:rsidRDefault="0024092D" w:rsidP="00B43A7D">
      <w:r w:rsidRPr="00FB2CEF">
        <w:t>If you feel that this may be an issue for you and your care in the future</w:t>
      </w:r>
      <w:r w:rsidR="00E2072E">
        <w:t>,</w:t>
      </w:r>
      <w:r w:rsidRPr="00FB2CEF">
        <w:t xml:space="preserve"> it would be wise to ask your GP for their Practice policy on Shared care agreements so that you can make an informed choice.</w:t>
      </w:r>
      <w:r w:rsidR="00AA049D" w:rsidRPr="00FB2CEF">
        <w:t xml:space="preserve"> </w:t>
      </w:r>
      <w:r w:rsidR="00B43A7D" w:rsidRPr="00FB2CEF">
        <w:t>This would also be useful information to share with your chosen provider so that they are aware of their duty in prescribing</w:t>
      </w:r>
      <w:r w:rsidR="00AB433D" w:rsidRPr="00FB2CEF">
        <w:t xml:space="preserve"> if your GP</w:t>
      </w:r>
      <w:r w:rsidR="00B43A7D" w:rsidRPr="00FB2CEF">
        <w:t xml:space="preserve"> is unlikely to </w:t>
      </w:r>
      <w:r w:rsidR="00AB433D" w:rsidRPr="00FB2CEF">
        <w:t>take it over.</w:t>
      </w:r>
    </w:p>
    <w:p w14:paraId="5F73BF79" w14:textId="191F96CA" w:rsidR="0024092D" w:rsidRDefault="0024092D" w:rsidP="0024092D"/>
    <w:p w14:paraId="1BC7DC6A" w14:textId="77777777" w:rsidR="0024092D" w:rsidRDefault="0024092D" w:rsidP="00C22744"/>
    <w:sectPr w:rsidR="0024092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4E50" w14:textId="77777777" w:rsidR="005D0DCA" w:rsidRDefault="005D0DCA" w:rsidP="001806C1">
      <w:pPr>
        <w:spacing w:after="0" w:line="240" w:lineRule="auto"/>
      </w:pPr>
      <w:r>
        <w:separator/>
      </w:r>
    </w:p>
  </w:endnote>
  <w:endnote w:type="continuationSeparator" w:id="0">
    <w:p w14:paraId="293506F4" w14:textId="77777777" w:rsidR="005D0DCA" w:rsidRDefault="005D0DCA" w:rsidP="0018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C390" w14:textId="6A37BDDC" w:rsidR="001806C1" w:rsidRDefault="00CF2AA1" w:rsidP="00CF2AA1">
    <w:pPr>
      <w:pStyle w:val="Footer"/>
      <w:tabs>
        <w:tab w:val="clear" w:pos="4513"/>
        <w:tab w:val="clear" w:pos="9026"/>
        <w:tab w:val="right" w:pos="10092"/>
      </w:tabs>
    </w:pPr>
    <w:r w:rsidRPr="00CF2AA1">
      <w:rPr>
        <w:i/>
        <w:iCs/>
      </w:rPr>
      <w:t>Beds &amp; Herts LMC – April 2025</w:t>
    </w:r>
    <w:r>
      <w:tab/>
    </w:r>
    <w:r>
      <w:fldChar w:fldCharType="begin"/>
    </w:r>
    <w:r>
      <w:instrText xml:space="preserve"> PAGE   \* MERGEFORMAT </w:instrText>
    </w:r>
    <w:r>
      <w:fldChar w:fldCharType="separate"/>
    </w:r>
    <w:r>
      <w:t>1</w:t>
    </w:r>
    <w:r>
      <w:fldChar w:fldCharType="end"/>
    </w:r>
    <w:r>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90B68" w14:textId="77777777" w:rsidR="005D0DCA" w:rsidRDefault="005D0DCA" w:rsidP="001806C1">
      <w:pPr>
        <w:spacing w:after="0" w:line="240" w:lineRule="auto"/>
      </w:pPr>
      <w:r>
        <w:separator/>
      </w:r>
    </w:p>
  </w:footnote>
  <w:footnote w:type="continuationSeparator" w:id="0">
    <w:p w14:paraId="777EC1C4" w14:textId="77777777" w:rsidR="005D0DCA" w:rsidRDefault="005D0DCA" w:rsidP="001806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44"/>
    <w:rsid w:val="00033714"/>
    <w:rsid w:val="00036942"/>
    <w:rsid w:val="0004591F"/>
    <w:rsid w:val="00057A97"/>
    <w:rsid w:val="000815A8"/>
    <w:rsid w:val="0009160A"/>
    <w:rsid w:val="000A36B0"/>
    <w:rsid w:val="000C46FB"/>
    <w:rsid w:val="000C4B31"/>
    <w:rsid w:val="000E2433"/>
    <w:rsid w:val="00153987"/>
    <w:rsid w:val="001806C1"/>
    <w:rsid w:val="001C2823"/>
    <w:rsid w:val="001F5FB0"/>
    <w:rsid w:val="001F7086"/>
    <w:rsid w:val="0021554A"/>
    <w:rsid w:val="00232AC1"/>
    <w:rsid w:val="00232E03"/>
    <w:rsid w:val="0024092D"/>
    <w:rsid w:val="00272645"/>
    <w:rsid w:val="00281300"/>
    <w:rsid w:val="002B4F89"/>
    <w:rsid w:val="002C6A56"/>
    <w:rsid w:val="00321289"/>
    <w:rsid w:val="003543CB"/>
    <w:rsid w:val="00355A3A"/>
    <w:rsid w:val="00377965"/>
    <w:rsid w:val="00382880"/>
    <w:rsid w:val="003D6EF3"/>
    <w:rsid w:val="003E5601"/>
    <w:rsid w:val="004E4F5D"/>
    <w:rsid w:val="004F6C97"/>
    <w:rsid w:val="00514AE8"/>
    <w:rsid w:val="00522D75"/>
    <w:rsid w:val="00532934"/>
    <w:rsid w:val="00552235"/>
    <w:rsid w:val="005A61F0"/>
    <w:rsid w:val="005D0DCA"/>
    <w:rsid w:val="005F6971"/>
    <w:rsid w:val="006957C4"/>
    <w:rsid w:val="007035BA"/>
    <w:rsid w:val="0075137A"/>
    <w:rsid w:val="00754D5C"/>
    <w:rsid w:val="00785D7E"/>
    <w:rsid w:val="007B6CD2"/>
    <w:rsid w:val="007D0ED7"/>
    <w:rsid w:val="00800065"/>
    <w:rsid w:val="00803DE4"/>
    <w:rsid w:val="00822CE6"/>
    <w:rsid w:val="00855DE4"/>
    <w:rsid w:val="00885372"/>
    <w:rsid w:val="008C0E72"/>
    <w:rsid w:val="008C7886"/>
    <w:rsid w:val="00926385"/>
    <w:rsid w:val="0094568A"/>
    <w:rsid w:val="00952292"/>
    <w:rsid w:val="00A03648"/>
    <w:rsid w:val="00A06F4A"/>
    <w:rsid w:val="00A527A5"/>
    <w:rsid w:val="00A53F44"/>
    <w:rsid w:val="00A845CA"/>
    <w:rsid w:val="00A856D5"/>
    <w:rsid w:val="00A920EB"/>
    <w:rsid w:val="00AA049D"/>
    <w:rsid w:val="00AB11D1"/>
    <w:rsid w:val="00AB433D"/>
    <w:rsid w:val="00B43A7D"/>
    <w:rsid w:val="00B91220"/>
    <w:rsid w:val="00BB6B66"/>
    <w:rsid w:val="00BC4CA9"/>
    <w:rsid w:val="00BE5FAC"/>
    <w:rsid w:val="00C02BAB"/>
    <w:rsid w:val="00C22744"/>
    <w:rsid w:val="00C563A9"/>
    <w:rsid w:val="00CB34F5"/>
    <w:rsid w:val="00CF2AA1"/>
    <w:rsid w:val="00D22FBE"/>
    <w:rsid w:val="00D4637B"/>
    <w:rsid w:val="00D63122"/>
    <w:rsid w:val="00D757BF"/>
    <w:rsid w:val="00D758FC"/>
    <w:rsid w:val="00D83608"/>
    <w:rsid w:val="00D9711A"/>
    <w:rsid w:val="00DA0AF9"/>
    <w:rsid w:val="00E2072E"/>
    <w:rsid w:val="00E26FF2"/>
    <w:rsid w:val="00E64979"/>
    <w:rsid w:val="00E75130"/>
    <w:rsid w:val="00E83099"/>
    <w:rsid w:val="00EB7F56"/>
    <w:rsid w:val="00EE583D"/>
    <w:rsid w:val="00EF4177"/>
    <w:rsid w:val="00F200E1"/>
    <w:rsid w:val="00F50A61"/>
    <w:rsid w:val="00F96ACB"/>
    <w:rsid w:val="00FB2CEF"/>
    <w:rsid w:val="00FC3F25"/>
    <w:rsid w:val="00FC5290"/>
    <w:rsid w:val="00FD6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7C4B"/>
  <w15:chartTrackingRefBased/>
  <w15:docId w15:val="{010772A7-F000-477B-A393-F6884CF4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744"/>
    <w:rPr>
      <w:rFonts w:eastAsiaTheme="majorEastAsia" w:cstheme="majorBidi"/>
      <w:color w:val="272727" w:themeColor="text1" w:themeTint="D8"/>
    </w:rPr>
  </w:style>
  <w:style w:type="paragraph" w:styleId="Title">
    <w:name w:val="Title"/>
    <w:basedOn w:val="Normal"/>
    <w:next w:val="Normal"/>
    <w:link w:val="TitleChar"/>
    <w:uiPriority w:val="10"/>
    <w:qFormat/>
    <w:rsid w:val="00C22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744"/>
    <w:pPr>
      <w:spacing w:before="160"/>
      <w:jc w:val="center"/>
    </w:pPr>
    <w:rPr>
      <w:i/>
      <w:iCs/>
      <w:color w:val="404040" w:themeColor="text1" w:themeTint="BF"/>
    </w:rPr>
  </w:style>
  <w:style w:type="character" w:customStyle="1" w:styleId="QuoteChar">
    <w:name w:val="Quote Char"/>
    <w:basedOn w:val="DefaultParagraphFont"/>
    <w:link w:val="Quote"/>
    <w:uiPriority w:val="29"/>
    <w:rsid w:val="00C22744"/>
    <w:rPr>
      <w:i/>
      <w:iCs/>
      <w:color w:val="404040" w:themeColor="text1" w:themeTint="BF"/>
    </w:rPr>
  </w:style>
  <w:style w:type="paragraph" w:styleId="ListParagraph">
    <w:name w:val="List Paragraph"/>
    <w:basedOn w:val="Normal"/>
    <w:uiPriority w:val="34"/>
    <w:qFormat/>
    <w:rsid w:val="00C22744"/>
    <w:pPr>
      <w:ind w:left="720"/>
      <w:contextualSpacing/>
    </w:pPr>
  </w:style>
  <w:style w:type="character" w:styleId="IntenseEmphasis">
    <w:name w:val="Intense Emphasis"/>
    <w:basedOn w:val="DefaultParagraphFont"/>
    <w:uiPriority w:val="21"/>
    <w:qFormat/>
    <w:rsid w:val="00C22744"/>
    <w:rPr>
      <w:i/>
      <w:iCs/>
      <w:color w:val="0F4761" w:themeColor="accent1" w:themeShade="BF"/>
    </w:rPr>
  </w:style>
  <w:style w:type="paragraph" w:styleId="IntenseQuote">
    <w:name w:val="Intense Quote"/>
    <w:basedOn w:val="Normal"/>
    <w:next w:val="Normal"/>
    <w:link w:val="IntenseQuoteChar"/>
    <w:uiPriority w:val="30"/>
    <w:qFormat/>
    <w:rsid w:val="00C22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744"/>
    <w:rPr>
      <w:i/>
      <w:iCs/>
      <w:color w:val="0F4761" w:themeColor="accent1" w:themeShade="BF"/>
    </w:rPr>
  </w:style>
  <w:style w:type="character" w:styleId="IntenseReference">
    <w:name w:val="Intense Reference"/>
    <w:basedOn w:val="DefaultParagraphFont"/>
    <w:uiPriority w:val="32"/>
    <w:qFormat/>
    <w:rsid w:val="00C22744"/>
    <w:rPr>
      <w:b/>
      <w:bCs/>
      <w:smallCaps/>
      <w:color w:val="0F4761" w:themeColor="accent1" w:themeShade="BF"/>
      <w:spacing w:val="5"/>
    </w:rPr>
  </w:style>
  <w:style w:type="table" w:styleId="TableGrid">
    <w:name w:val="Table Grid"/>
    <w:basedOn w:val="TableNormal"/>
    <w:uiPriority w:val="39"/>
    <w:rsid w:val="00822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591F"/>
    <w:rPr>
      <w:color w:val="467886" w:themeColor="hyperlink"/>
      <w:u w:val="single"/>
    </w:rPr>
  </w:style>
  <w:style w:type="character" w:styleId="UnresolvedMention">
    <w:name w:val="Unresolved Mention"/>
    <w:basedOn w:val="DefaultParagraphFont"/>
    <w:uiPriority w:val="99"/>
    <w:semiHidden/>
    <w:unhideWhenUsed/>
    <w:rsid w:val="0004591F"/>
    <w:rPr>
      <w:color w:val="605E5C"/>
      <w:shd w:val="clear" w:color="auto" w:fill="E1DFDD"/>
    </w:rPr>
  </w:style>
  <w:style w:type="paragraph" w:styleId="Header">
    <w:name w:val="header"/>
    <w:basedOn w:val="Normal"/>
    <w:link w:val="HeaderChar"/>
    <w:uiPriority w:val="99"/>
    <w:unhideWhenUsed/>
    <w:rsid w:val="00180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6C1"/>
  </w:style>
  <w:style w:type="paragraph" w:styleId="Footer">
    <w:name w:val="footer"/>
    <w:basedOn w:val="Normal"/>
    <w:link w:val="FooterChar"/>
    <w:uiPriority w:val="99"/>
    <w:unhideWhenUsed/>
    <w:rsid w:val="00180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hduk.co.uk/right-to-choos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Harrison</dc:creator>
  <cp:keywords/>
  <dc:description/>
  <cp:lastModifiedBy>Beth Hartman</cp:lastModifiedBy>
  <cp:revision>2</cp:revision>
  <dcterms:created xsi:type="dcterms:W3CDTF">2025-04-14T09:46:00Z</dcterms:created>
  <dcterms:modified xsi:type="dcterms:W3CDTF">2025-04-14T09:46:00Z</dcterms:modified>
</cp:coreProperties>
</file>